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5วันทำการ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 เอกสารที่เกี่ยวข้องเสนอผู้มีอำนาจพิจารณา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นายกองค์กรปกครองส่วนท้องถิ่นหรือผู้ที่รับมอบอำนาจพิจารณาสั่งจ่ายเงินบำเหน็จตกทอด โดยองค์กรปกครองส่วนท้องถิ่นแจ้งและเบิกจ่ายเงินดังกล่าวให้แก่ทายาทหรือผู้มีสิทธิฯ ต่อไป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15:05 การขอรับบำเหน็จตกทอด (กรณีลูกจ้างประจำผู้รับบำเหน็จรายเดือนหรือบำเหน็จพิเศษรายเดือนถึงแก่กรรม)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