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  <w:br/>
        <w:t xml:space="preserve"/>
        <w:br/>
        <w:t xml:space="preserve">2. 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3. องค์การบริหารส่วนจังหวัด/เทศบาล/องค์การบริหารส่วนตำบล /เมืองพัทยา จะแจ้งผลการพิจารณาให้ผู้ยื่นคำขอทราบภายใน 5วันทำการนับแต่วันที่พิจารณาแล้วเสร็จ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12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 รวบรวมหลักฐานและเอกสารที่เกี่ยวข้องเสนอผู้มีอำนาจพิจารณา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br/>
              <w:t xml:space="preserve"> พิจารณาสั่งจ่ายเงินบำเหน็จพิเศษ และให้องค์กรปกครองส่วนท้องถิ่นแจ้งและเบิกจ่ายเงินดังกล่าวให้แก่ทายาทต่อไป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(ขอรับหนังสือรับรองการใช้เงินคืนแก่หน่วยการบริหารราชการส่วนท้องถิ่นที่หน่วยงานต้นสังกัด)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 กรมส่งเสริมการปกครองท้องถิ่น กรมส่งเสริมการปกครองท้องถิ่น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15:26 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