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 การขอรับบำเหน็จปกติของทายาท (กรณีลูกจ้างประจำขององค์กรปกครองส่วนท้องถิ่น ถึงแก่กรรม)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5วันทำการ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และเจ้าหน้าที่ตรวจสอบความถูกต้องของเอกสารหลักฐาน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 ตรวจสอบความถูกต้องและรวบรวมหลักฐานและเอกสาร</w:t>
              <w:tab/>
              <w:t xml:space="preserve"/>
              <w:br/>
              <w:t xml:space="preserve"> ที่เกี่ยวข้องเสนอผู้มีอำนาจพิจารณา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br/>
              <w:t xml:space="preserve"> 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 การขอรับบำเหน็จปกติของทายาท (กรณีลูกจ้างประจำขององค์กรปกครองส่วนท้องถิ่น ถึงแก่กรรม)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15:00 การขอรับบำเหน็จปกติของทายาท (กรณีลูกจ้างประจำขององค์กรปกครองส่วนท้องถิ่น ถึงแก่กรรม)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