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การขอต่ออายุใบอนุญาตประกอบกิจการรับทำการกำจัดมูลฝอยติดเชื้อ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ผู้ใดประสงค์ขอต่ออายุใบอนุญาตประกอบกิจการรับทำการกำจัดมูลฝอยติดเชื้อ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ด้านสุขลักษณะการกำจัดมูลฝอยติดเชื้อ และด้านคุณสมบัติของผู้ปฏิบัติงานถูกต้องตามหลักเกณฑ์</w:t>
        <w:br/>
        <w:t xml:space="preserve"/>
        <w:br/>
        <w:t xml:space="preserve">    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ผู้ขอรับใบอนุญาตยื่นคำขอต่ออายุใบอนุญาตประกอบกิจการรับทำการกำจัดมูลฝอยติดเชื้อ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ติดเชื้อ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    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เอกสารหรือหลักฐานแสดงวุฒิการศึกษาของเจ้าหน้าที่ควบคุม กำกับ ในการจัดการมูลฝอยติดเชื้อ อย่างน้อย 2 คน          1) 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         2) 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(ตามหลักสูตรและระยะเวลาตามที่กระทรวงสาธารณสุขกำหนดโดยประกาศในราชกิจจานุเบกษา)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อัตราค่าธรรมเนียมต่ออายุใบอนุญาตรับทำการกำจัดมูลฝอยติดเชื้อ ฉบับละไม่เกิน 15,000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 หรือต่ออายุใบอนุญาต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 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การขอต่ออายุใบอนุญาตประกอบกิจการรับทำการกำจัดมูลฝอยติดเชื้อ เทศบาลตำบลแม่ยม สมพงษ์ สำเนาคู่มือประชาชน 29/11/2017 15:31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