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การแจ้งเคลื่อนย้ายอาคารตามมาตรา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08:30 - 16:00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แจ้งเคลื่อนย้ายอาคาร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สำเนาบัตรประชาชนและสำเนาทะเบียนบ้านของผู้มีอำนาจลงนามแทนนิติบุคคลผู้รับมอบอำนาจเจ้าของที่ดิน (กรณีนิติบุคคลเป็นเจ้าของที่ดิน)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การแจ้งเคลื่อนย้ายอาคารตามมาตรา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การแจ้งเคลื่อนย้ายอาคารตามมาตรา 39 ทวิ  เทศบาลตำบลแม่ยม  สมพงษ์  สำเนาคู่มือประชาชน 17/11/2017 14:23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