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การขอใบอนุญาตประกอบกิจการรับทำการกำจัดสิ่งปฏิกูล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ผู้ใดประสงค์ขอใบอนุญาตประกอบกิจการรับทำการกำจัดสิ่งปฏิกูล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</w:t>
        <w:br/>
        <w:t xml:space="preserve"/>
        <w:br/>
        <w:t xml:space="preserve">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ผู้ขอรับใบอนุญาตยื่นคำขอใบอนุญาตประกอบกิจการรับทำการกำจัดปฏิกูล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</w:t>
              <w:br/>
              <w:t xml:space="preserve">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</w:t>
              <w:br/>
              <w:t xml:space="preserve">        แจ้งคำสั่งไม่ออกใบอนุญาตประกอบกิจการรับทำการกำจัด    สิ่งปฏิกูลแก่ผู้ขออนุญาตทราบ  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ชำระค่าธรรมเนียม (กรณีมีคำสั่งอนุญาต)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อัตราค่าธรรมเนียมใบอนุญาตรับทำการกำจัดสิ่งปฏิกูล ฉบับละไม่เกิน 7,500 บาทต่อปี</w:t>
              <w:br/>
              <w:t xml:space="preserve"/>
              <w:tab/>
              <w:t xml:space="preserve"/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((ระบุตามข้อบัญญัติท้องถิ่น))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การขอใบอนุญาตประกอบกิจการรับทำการกำจัดสิ่งปฏิกูล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กฎกระทรวงสุขลักษณะการจัดการสิ่งปฏิกูล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พระราชบัญญัติการสาธารณสุข พ.ศ.2535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13:53 การขอใบอนุญาตประกอบกิจการรับทำการกำจัดสิ่งปฏิกูล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