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การขออนุญาตรื้อถอนอาคาร ตามมาตรา 22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ผูใดจะรื้อถอนอาคารที่มีส่วนสูงเกิน 15เมตร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๒ 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2คราว คราวละไม่เกิน 45วัน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ยื่นขออนุญาตรื้อถอนอาคาร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และแจ้งให้ผู้ขอมารับใบอนุญาตรื้อถอนอาคาร (น.1)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แบบคำขออนุญาตรื้อถอนอาคาร  (แบบ ข. 1)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(กรณีที่เป็นอาคารมีลักษณะ ขนาด อยู่ในประเภทเป็นวิชาชีพวิศวกรรมควบคุม)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(กรณีเจ้าของอาคารเป็นนิติบุคคล)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การขออนุญาตรื้อถอนอาคาร ตามมาตรา 22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การขออนุญาตรื้อถอนอาคาร ตามมาตรา 22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