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การแจ้งรื้อถอนอาคารตามมาตรา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ผูใดจะรื้อถอนอาคาร ที่มีส่วนสูงเกิน 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2เมตร โดยไมยื่นคําขอรับใบอนุญาตจากเจาพนักงานทองถิ่น ก็ได โดยการแจ้งตอเจาพนักงานทองถิ่น ตามมาตรา 39ทวิ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 นับแต่วันที่ได้ออกใบรับแจ้งตามมาตรา 39ทวิ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ยื่นแจ้งรื้อถอนอาคาร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หนังสือรับรองของวิศวกรผู้ออกแบบขั้นตอนและสิ่งป้องกันวัสดุหล่นในการ     รื้อถอนอาคาร (กรณีอาคารมีลักษณะ ขนาด อยู่ในประเภทวิชาชีพควบคุม)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การแจ้งรื้อถอนอาคารตามมาตรา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การแจ้งรื้อถอนอาคารตามมาตรา 39 ทวิ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